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108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bis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R4-2315703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/>
          <w:b/>
          <w:sz w:val="24"/>
          <w:lang w:val="pt-BR"/>
        </w:rPr>
      </w:pPr>
      <w:r>
        <w:rPr>
          <w:rFonts w:hint="eastAsia" w:ascii="Arial" w:hAnsi="Arial" w:cs="Arial"/>
          <w:b/>
          <w:sz w:val="24"/>
          <w:szCs w:val="24"/>
        </w:rPr>
        <w:t>Xiamen, China, Oct 9 – Oct 13,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Discussion o</w:t>
      </w:r>
      <w:r>
        <w:rPr>
          <w:rFonts w:hint="eastAsia" w:ascii="Arial" w:hAnsi="Arial"/>
          <w:b/>
          <w:sz w:val="24"/>
          <w:lang w:val="pt-BR"/>
        </w:rPr>
        <w:t>n</w:t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  <w:r>
        <w:rPr>
          <w:rFonts w:hint="eastAsia" w:ascii="Arial" w:hAnsi="Arial"/>
          <w:b/>
          <w:sz w:val="24"/>
        </w:rPr>
        <w:t>NCR-MT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5.28.6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Approval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spacing w:before="120" w:after="120"/>
        <w:rPr>
          <w:szCs w:val="22"/>
        </w:rPr>
      </w:pPr>
      <w:r>
        <w:rPr>
          <w:rFonts w:hint="eastAsia"/>
          <w:szCs w:val="22"/>
        </w:rPr>
        <w:t>During the last RAN4 meeting, some conclusions</w:t>
      </w:r>
      <w:r>
        <w:rPr>
          <w:rFonts w:hint="eastAsia"/>
          <w:szCs w:val="22"/>
          <w:lang w:val="en-US" w:eastAsia="zh-CN"/>
        </w:rPr>
        <w:t>[1]</w:t>
      </w:r>
      <w:r>
        <w:rPr>
          <w:rFonts w:hint="eastAsia"/>
          <w:szCs w:val="22"/>
        </w:rPr>
        <w:t xml:space="preserve"> has been reached for NCR-MT demodulation requirements. In this contribution, we want to share analysis on demod requirement impacts from RAN4 perspective based on the listed feature from RAN1/RAN2 perspective. Generally speaking, since the NCR-MT is equipped with baseband functionality, then its demod requirement should be defined to check its practical performance. In the following section, we will provide the detailed </w:t>
      </w:r>
      <w:r>
        <w:rPr>
          <w:rFonts w:hint="eastAsia"/>
          <w:szCs w:val="22"/>
          <w:lang w:val="en-US" w:eastAsia="zh-CN"/>
        </w:rPr>
        <w:t xml:space="preserve">discussions </w:t>
      </w:r>
      <w:r>
        <w:rPr>
          <w:rFonts w:hint="eastAsia"/>
          <w:szCs w:val="22"/>
        </w:rPr>
        <w:t>for NCR-MT demod requirements.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pStyle w:val="3"/>
        <w:numPr>
          <w:ilvl w:val="1"/>
          <w:numId w:val="0"/>
        </w:numPr>
        <w:spacing w:before="120" w:after="120"/>
        <w:ind w:right="21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Sub-topic 1-</w:t>
      </w:r>
      <w:r>
        <w:rPr>
          <w:rFonts w:hint="eastAsia"/>
          <w:sz w:val="22"/>
          <w:szCs w:val="22"/>
          <w:lang w:val="en-US" w:eastAsia="zh-CN"/>
        </w:rPr>
        <w:t>2</w:t>
      </w:r>
      <w:r>
        <w:rPr>
          <w:rFonts w:hint="eastAsia"/>
          <w:sz w:val="22"/>
          <w:szCs w:val="22"/>
        </w:rPr>
        <w:t xml:space="preserve"> PD</w:t>
      </w:r>
      <w:r>
        <w:rPr>
          <w:rFonts w:hint="eastAsia"/>
          <w:sz w:val="22"/>
          <w:szCs w:val="22"/>
          <w:lang w:val="en-US" w:eastAsia="zh-CN"/>
        </w:rPr>
        <w:t>C</w:t>
      </w:r>
      <w:r>
        <w:rPr>
          <w:rFonts w:hint="eastAsia"/>
          <w:sz w:val="22"/>
          <w:szCs w:val="22"/>
        </w:rPr>
        <w:t>CH requirements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宋体"/>
                <w:b/>
                <w:color w:val="auto"/>
                <w:u w:val="single"/>
                <w:lang w:val="en-US" w:eastAsia="zh-CN"/>
              </w:rPr>
            </w:pPr>
            <w:r>
              <w:rPr>
                <w:b/>
                <w:color w:val="auto"/>
                <w:u w:val="single"/>
                <w:lang w:eastAsia="ko-KR"/>
              </w:rPr>
              <w:t>Issue 1-2</w:t>
            </w:r>
            <w:r>
              <w:rPr>
                <w:rFonts w:hint="eastAsia"/>
                <w:b/>
                <w:color w:val="auto"/>
                <w:u w:val="single"/>
                <w:lang w:val="en-US" w:eastAsia="zh-CN"/>
              </w:rPr>
              <w:t>-1</w:t>
            </w:r>
            <w:r>
              <w:rPr>
                <w:b/>
                <w:color w:val="auto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auto"/>
                <w:u w:val="single"/>
                <w:lang w:val="en-US" w:eastAsia="zh-CN"/>
              </w:rPr>
              <w:t xml:space="preserve"> Whether to define new requirements on PDCCH for signaling of Access link beam change indication</w:t>
            </w:r>
          </w:p>
          <w:p>
            <w:pPr>
              <w:pStyle w:val="33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hint="eastAsia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4"/>
                <w:lang w:val="en-US" w:eastAsia="zh-CN"/>
              </w:rPr>
              <w:t xml:space="preserve">Agreements: </w:t>
            </w:r>
          </w:p>
          <w:p>
            <w:pPr>
              <w:pStyle w:val="33"/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20"/>
              <w:ind w:left="1560" w:leftChars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="宋体"/>
                <w:color w:val="auto"/>
                <w:szCs w:val="24"/>
                <w:highlight w:val="none"/>
                <w:lang w:val="en-US" w:eastAsia="zh-CN"/>
              </w:rPr>
              <w:t xml:space="preserve">FFS whether new PDCCH requirements needed or not for DCI format 5_0/2_8 with large payload size. </w:t>
            </w: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With regard to DCI format 5_0/2_8, the biggest difference from existing DCI is payload size. Considering payload size is up to 128 bits, from our simulation results[2], target SNR could be 11.6dB and 9.9dB when aggregation level = 2. In our understanding, the target SNR could be high for polar coding. RAN4 didn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define PDCCH requirements with high SNR before.</w:t>
      </w:r>
    </w:p>
    <w:tbl>
      <w:tblPr>
        <w:tblStyle w:val="22"/>
        <w:tblW w:w="9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276"/>
        <w:gridCol w:w="1375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Test number</w:t>
            </w:r>
          </w:p>
        </w:tc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Bandwidth</w:t>
            </w: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 xml:space="preserve"> (MHz)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</w:t>
            </w:r>
            <w:r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  <w:t>ET RB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CORESET duration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Aggregation level</w:t>
            </w:r>
          </w:p>
        </w:tc>
        <w:tc>
          <w:tcPr>
            <w:tcW w:w="1276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Propagation Condition</w:t>
            </w:r>
          </w:p>
        </w:tc>
        <w:tc>
          <w:tcPr>
            <w:tcW w:w="137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Antenna configuration and correlation Matrix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b/>
                <w:kern w:val="0"/>
                <w:sz w:val="18"/>
                <w:lang w:val="en-US" w:eastAsia="en-US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US" w:eastAsia="zh-CN"/>
              </w:rPr>
              <w:t>S</w:t>
            </w:r>
            <w:r>
              <w:rPr>
                <w:rFonts w:hint="eastAsia" w:ascii="Arial" w:hAnsi="Arial"/>
                <w:b/>
                <w:kern w:val="0"/>
                <w:sz w:val="18"/>
                <w:lang w:val="en-US" w:eastAsia="zh-CN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24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11.6</w:t>
            </w:r>
          </w:p>
        </w:tc>
      </w:tr>
    </w:tbl>
    <w:p>
      <w:pPr>
        <w:rPr>
          <w:rFonts w:hint="eastAsia"/>
          <w:lang w:eastAsia="zh-CN"/>
        </w:rPr>
      </w:pPr>
    </w:p>
    <w:tbl>
      <w:tblPr>
        <w:tblStyle w:val="22"/>
        <w:tblW w:w="95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276"/>
        <w:gridCol w:w="1615"/>
        <w:gridCol w:w="2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Test number</w:t>
            </w:r>
          </w:p>
        </w:tc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Bandwidth</w:t>
            </w: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 xml:space="preserve"> (MHz)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</w:t>
            </w:r>
            <w:r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  <w:t>ET RB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CORESET duration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Aggregation level</w:t>
            </w:r>
          </w:p>
        </w:tc>
        <w:tc>
          <w:tcPr>
            <w:tcW w:w="1276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Propagation Condition</w:t>
            </w:r>
          </w:p>
        </w:tc>
        <w:tc>
          <w:tcPr>
            <w:tcW w:w="161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Antenna configuration and correlation Matrix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b/>
                <w:kern w:val="0"/>
                <w:sz w:val="18"/>
                <w:lang w:val="en-US" w:eastAsia="en-US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US" w:eastAsia="zh-CN"/>
              </w:rPr>
              <w:t>S</w:t>
            </w:r>
            <w:r>
              <w:rPr>
                <w:rFonts w:hint="eastAsia" w:ascii="Arial" w:hAnsi="Arial"/>
                <w:b/>
                <w:kern w:val="0"/>
                <w:sz w:val="18"/>
                <w:lang w:val="en-US" w:eastAsia="zh-CN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40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102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615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9.9</w:t>
            </w:r>
          </w:p>
        </w:tc>
      </w:tr>
    </w:tbl>
    <w:p>
      <w:pPr>
        <w:numPr>
          <w:ilvl w:val="1"/>
          <w:numId w:val="0"/>
        </w:numPr>
        <w:spacing w:before="120" w:after="120"/>
        <w:ind w:right="210"/>
        <w:outlineLvl w:val="9"/>
        <w:rPr>
          <w:rFonts w:hint="eastAsia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However, from baseband demodulation aspects, no processing difference between DCI </w:t>
      </w:r>
      <w:r>
        <w:rPr>
          <w:rFonts w:hint="eastAsia"/>
          <w:lang w:val="en-US" w:eastAsia="zh-CN"/>
        </w:rPr>
        <w:t>5_0/2_8 and legacy DCI.</w:t>
      </w:r>
    </w:p>
    <w:p>
      <w:pPr>
        <w:numPr>
          <w:ilvl w:val="1"/>
          <w:numId w:val="0"/>
        </w:numPr>
        <w:spacing w:before="120" w:after="120"/>
        <w:ind w:right="210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What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more, </w:t>
      </w:r>
      <w:r>
        <w:rPr>
          <w:rFonts w:hint="eastAsia"/>
          <w:sz w:val="22"/>
          <w:szCs w:val="22"/>
          <w:lang w:val="en-US" w:eastAsia="zh-CN"/>
        </w:rPr>
        <w:t xml:space="preserve">DCI </w:t>
      </w:r>
      <w:r>
        <w:rPr>
          <w:rFonts w:hint="eastAsia"/>
          <w:lang w:val="en-US" w:eastAsia="zh-CN"/>
        </w:rPr>
        <w:t>5_0/2_8 can carry more access link beam change indication. How to verify the beam change indication during demodulation test cases is an important issues.</w:t>
      </w:r>
    </w:p>
    <w:p>
      <w:pPr>
        <w:numPr>
          <w:ilvl w:val="1"/>
          <w:numId w:val="0"/>
        </w:numPr>
        <w:spacing w:before="120" w:after="120"/>
        <w:ind w:right="210"/>
        <w:outlineLvl w:val="9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Observation 1. If introduced new DCI type 5_0/2_8 for NCR-MT requirements, how to verify the beam change indication during demodulation test cases is an important issues.</w:t>
      </w:r>
    </w:p>
    <w:p>
      <w:pPr>
        <w:pStyle w:val="3"/>
        <w:numPr>
          <w:ilvl w:val="1"/>
          <w:numId w:val="0"/>
        </w:numPr>
        <w:spacing w:before="120" w:after="120"/>
        <w:ind w:right="210"/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</w:rPr>
        <w:t>Sub-topic 1-</w:t>
      </w:r>
      <w:r>
        <w:rPr>
          <w:rFonts w:hint="eastAsia"/>
          <w:sz w:val="22"/>
          <w:szCs w:val="22"/>
          <w:lang w:val="en-US" w:eastAsia="zh-CN"/>
        </w:rPr>
        <w:t>3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CSI</w:t>
      </w:r>
      <w:r>
        <w:rPr>
          <w:rFonts w:hint="eastAsia"/>
          <w:sz w:val="22"/>
          <w:szCs w:val="22"/>
        </w:rPr>
        <w:t xml:space="preserve"> requirements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b/>
                <w:color w:val="auto"/>
                <w:u w:val="single"/>
                <w:lang w:val="en-US" w:eastAsia="zh-CN"/>
              </w:rPr>
            </w:pPr>
            <w:r>
              <w:rPr>
                <w:b/>
                <w:color w:val="auto"/>
                <w:u w:val="single"/>
                <w:lang w:eastAsia="ko-KR"/>
              </w:rPr>
              <w:t>Issue 1-</w:t>
            </w:r>
            <w:r>
              <w:rPr>
                <w:rFonts w:hint="eastAsia"/>
                <w:b/>
                <w:color w:val="auto"/>
                <w:u w:val="single"/>
                <w:lang w:val="en-US" w:eastAsia="zh-CN"/>
              </w:rPr>
              <w:t>3-1</w:t>
            </w:r>
            <w:r>
              <w:rPr>
                <w:b/>
                <w:color w:val="auto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auto"/>
                <w:u w:val="single"/>
                <w:lang w:val="en-US" w:eastAsia="zh-CN"/>
              </w:rPr>
              <w:t xml:space="preserve"> Whether to define PMI requirements</w:t>
            </w:r>
          </w:p>
          <w:p>
            <w:pPr>
              <w:pStyle w:val="33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hint="eastAsia"/>
                <w:b/>
                <w:color w:val="auto"/>
                <w:u w:val="single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4"/>
                <w:lang w:val="en-US" w:eastAsia="zh-CN"/>
              </w:rPr>
              <w:t xml:space="preserve">Agreements: </w:t>
            </w:r>
          </w:p>
          <w:p>
            <w:pPr>
              <w:pStyle w:val="33"/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20"/>
              <w:ind w:left="1560" w:leftChars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="宋体"/>
                <w:color w:val="auto"/>
                <w:szCs w:val="24"/>
                <w:highlight w:val="none"/>
                <w:lang w:val="en-US" w:eastAsia="zh-CN"/>
              </w:rPr>
              <w:t>FFS for whether to define PMI requirements.</w:t>
            </w:r>
          </w:p>
        </w:tc>
      </w:tr>
    </w:tbl>
    <w:p>
      <w:pPr>
        <w:rPr>
          <w:rFonts w:hint="default" w:eastAsia="宋体"/>
          <w:lang w:val="en-US" w:eastAsia="zh-CN"/>
        </w:rPr>
      </w:pPr>
      <w:r>
        <w:t xml:space="preserve">The conceptual model of NCR is described in </w:t>
      </w:r>
      <w:r>
        <w:fldChar w:fldCharType="begin"/>
      </w:r>
      <w:r>
        <w:instrText xml:space="preserve"> REF _Ref131154140 \r \h </w:instrText>
      </w:r>
      <w:r>
        <w:fldChar w:fldCharType="separate"/>
      </w: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fldChar w:fldCharType="end"/>
      </w:r>
      <w:r>
        <w:t xml:space="preserve">. As shown in Figure </w:t>
      </w:r>
      <w:r>
        <w:rPr>
          <w:rFonts w:hint="eastAsia"/>
          <w:lang w:val="en-US" w:eastAsia="zh-CN"/>
        </w:rPr>
        <w:t xml:space="preserve">2-1, which includes the NCR-MT and NCR-Fwd. </w:t>
      </w:r>
    </w:p>
    <w:p>
      <w:pPr>
        <w:pStyle w:val="55"/>
        <w:rPr>
          <w:color w:val="000000"/>
        </w:rPr>
      </w:pPr>
      <w:r>
        <w:rPr>
          <w:color w:val="000000"/>
          <w:lang w:val="en-US" w:eastAsia="zh-CN"/>
        </w:rPr>
        <w:drawing>
          <wp:inline distT="0" distB="0" distL="0" distR="0">
            <wp:extent cx="4516120" cy="1109980"/>
            <wp:effectExtent l="0" t="0" r="1016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16120" cy="110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6"/>
        <w:rPr>
          <w:rFonts w:hint="eastAsia"/>
          <w:lang w:eastAsia="zh-CN"/>
        </w:rPr>
      </w:pPr>
      <w:r>
        <w:rPr>
          <w:color w:val="000000"/>
          <w:sz w:val="21"/>
          <w:szCs w:val="21"/>
        </w:rPr>
        <w:t xml:space="preserve">Figure </w:t>
      </w:r>
      <w:r>
        <w:rPr>
          <w:rFonts w:hint="eastAsia"/>
          <w:color w:val="000000"/>
          <w:sz w:val="21"/>
          <w:szCs w:val="21"/>
          <w:lang w:val="en-US" w:eastAsia="zh-CN"/>
        </w:rPr>
        <w:t>1</w:t>
      </w:r>
      <w:r>
        <w:rPr>
          <w:color w:val="000000"/>
          <w:sz w:val="21"/>
          <w:szCs w:val="21"/>
        </w:rPr>
        <w:t>-1: Conceptual model of network-controlled repeater</w:t>
      </w:r>
    </w:p>
    <w:p>
      <w:pPr>
        <w:numPr>
          <w:ilvl w:val="0"/>
          <w:numId w:val="8"/>
        </w:numPr>
        <w:ind w:left="420" w:leftChars="0" w:hanging="420" w:firstLineChars="0"/>
        <w:rPr>
          <w:rFonts w:eastAsia="Malgun Gothic" w:cs="Times"/>
        </w:rPr>
      </w:pPr>
      <w:r>
        <w:rPr>
          <w:rFonts w:eastAsia="Malgun Gothic" w:cs="Times"/>
          <w:lang w:eastAsia="zh-CN"/>
        </w:rPr>
        <w:t>The NCR-MT is defined as a function entity to communicate with a gNB via a Control link (C-link) to enable exchange of control information (e.g. side control information at least for the control of NCR-Fwd). The C-link is based on NR Uu interface.</w:t>
      </w:r>
    </w:p>
    <w:p>
      <w:pPr>
        <w:numPr>
          <w:ilvl w:val="0"/>
          <w:numId w:val="8"/>
        </w:numPr>
        <w:ind w:left="420" w:leftChars="0" w:hanging="420" w:firstLineChars="0"/>
        <w:rPr>
          <w:rFonts w:eastAsia="Malgun Gothic" w:cs="Times"/>
        </w:rPr>
      </w:pPr>
      <w:r>
        <w:rPr>
          <w:rFonts w:eastAsia="Malgun Gothic" w:cs="Times"/>
        </w:rPr>
        <w:t xml:space="preserve">The NCR-Fwd is defined as a function entity to perform the amplify-and-forwarding of UL/DL RF signal between gNB and UE via backhaul link and access link. The behavior of the NCR-Fwd will be controlled according to the received side control information from gNB.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Obviously, NCR-MT is only defined to communicate with gNB via C-link to enable exchange of control information which is included in PDSCH, PDCCH. The side control information has a limited information with low date rate. For side control information, we need to ensure reliability.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And for IAB-MT, it also needs to decode PDSCH data and other data information. Hence, IAB-MT defined high modulation order with high ranks and PMI requirements which is used to improve throughput for PDSCH.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Regarding PMI, we expected it can improve throughput for PDSCH data when PMI reporting. Otherwise, random PMI could be considered.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b/>
          <w:bCs/>
          <w:i/>
          <w:iCs/>
          <w:szCs w:val="21"/>
        </w:rPr>
        <w:t xml:space="preserve">Proposal </w:t>
      </w:r>
      <w:r>
        <w:rPr>
          <w:rFonts w:hint="eastAsia"/>
          <w:b/>
          <w:bCs/>
          <w:i/>
          <w:iCs/>
          <w:szCs w:val="21"/>
          <w:lang w:val="en-US" w:eastAsia="zh-CN"/>
        </w:rPr>
        <w:t>2. No need to consider PMI requirements for NCR-MT.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1"/>
          <w:numId w:val="0"/>
        </w:numPr>
        <w:spacing w:before="120" w:after="120"/>
        <w:ind w:right="210" w:rightChars="100"/>
        <w:rPr>
          <w:rFonts w:hint="default" w:ascii="Times New Roman" w:hAnsi="Times New Roman" w:eastAsia="宋体" w:cs="Times New Roman"/>
          <w:b/>
          <w:bCs/>
          <w:i/>
          <w:iCs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>we give some discussions on demodulation performance requirements for NCR-MT demodulation requirements , The conclusions are:</w:t>
      </w:r>
    </w:p>
    <w:p>
      <w:pPr>
        <w:numPr>
          <w:ilvl w:val="1"/>
          <w:numId w:val="0"/>
        </w:numPr>
        <w:spacing w:before="120" w:after="120"/>
        <w:ind w:right="210"/>
        <w:outlineLvl w:val="9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Observation 1. If introduced new DCI type 5_0/2_8 for NCR-MT requirements, how to verify the beam change indication during demodulation test cases is an important issues.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b/>
          <w:bCs/>
          <w:i/>
          <w:iCs/>
          <w:szCs w:val="21"/>
        </w:rPr>
        <w:t xml:space="preserve">Proposal </w:t>
      </w:r>
      <w:r>
        <w:rPr>
          <w:rFonts w:hint="eastAsia"/>
          <w:b/>
          <w:bCs/>
          <w:i/>
          <w:iCs/>
          <w:szCs w:val="21"/>
          <w:lang w:val="en-US" w:eastAsia="zh-CN"/>
        </w:rPr>
        <w:t>2. No need to consider PMI requirements for NCR-MT.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3"/>
        <w:numPr>
          <w:ilvl w:val="0"/>
          <w:numId w:val="9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>R4-23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13923</w:t>
      </w: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 xml:space="preserve"> WF for NCR-MT demodulation requirements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,</w:t>
      </w: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 xml:space="preserve"> ZTE</w:t>
      </w:r>
      <w:r>
        <w:rPr>
          <w:rFonts w:hint="eastAsia" w:eastAsiaTheme="minorHAnsi" w:cstheme="minorBidi"/>
          <w:kern w:val="0"/>
          <w:sz w:val="21"/>
          <w:szCs w:val="21"/>
        </w:rPr>
        <w:t xml:space="preserve"> Corporation.</w:t>
      </w:r>
    </w:p>
    <w:p>
      <w:pPr>
        <w:pStyle w:val="33"/>
        <w:numPr>
          <w:ilvl w:val="0"/>
          <w:numId w:val="9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 xml:space="preserve">R4-2311516 Simulation results for NCR-MT demodulation requirements, </w:t>
      </w: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>ZTE</w:t>
      </w:r>
      <w:r>
        <w:rPr>
          <w:rFonts w:hint="eastAsia" w:eastAsiaTheme="minorHAnsi" w:cstheme="minorBidi"/>
          <w:kern w:val="0"/>
          <w:sz w:val="21"/>
          <w:szCs w:val="21"/>
        </w:rPr>
        <w:t xml:space="preserve"> Corporation.</w:t>
      </w:r>
    </w:p>
    <w:p>
      <w:pPr>
        <w:pStyle w:val="33"/>
        <w:numPr>
          <w:ilvl w:val="0"/>
          <w:numId w:val="9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</w:rPr>
        <w:t>3GPP TR 38.867, Study on NR network-controlled repeaters,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 xml:space="preserve"> V18.0.0, 09-2022. </w:t>
      </w:r>
    </w:p>
    <w:p>
      <w:pPr>
        <w:pStyle w:val="33"/>
        <w:numPr>
          <w:ilvl w:val="0"/>
          <w:numId w:val="0"/>
        </w:numPr>
        <w:spacing w:afterLines="0" w:line="259" w:lineRule="auto"/>
        <w:ind w:left="-60" w:leftChars="0" w:right="-22" w:rightChars="0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B0B5CDC7"/>
    <w:multiLevelType w:val="singleLevel"/>
    <w:tmpl w:val="B0B5CDC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1"/>
        <w:szCs w:val="11"/>
      </w:rPr>
    </w:lvl>
  </w:abstractNum>
  <w:abstractNum w:abstractNumId="2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  <w:sz w:val="20"/>
        <w:szCs w:val="20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A0B49"/>
    <w:rsid w:val="011E4C0F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D452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61032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371E6E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880B4E"/>
    <w:rsid w:val="2E93618F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62663F"/>
    <w:rsid w:val="30916BB1"/>
    <w:rsid w:val="30962F3E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EE55C1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7B4D4B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372A0B"/>
    <w:rsid w:val="394B6470"/>
    <w:rsid w:val="39526430"/>
    <w:rsid w:val="39790F9D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759F5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6E52F3"/>
    <w:rsid w:val="498A16CD"/>
    <w:rsid w:val="49A33C27"/>
    <w:rsid w:val="49A750B5"/>
    <w:rsid w:val="49AB48C8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551A6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1578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1A3F70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6">
    <w:name w:val="TF"/>
    <w:basedOn w:val="55"/>
    <w:qFormat/>
    <w:uiPriority w:val="0"/>
    <w:pPr>
      <w:keepNext w:val="0"/>
      <w:spacing w:before="0" w:after="24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1424</Words>
  <Characters>7899</Characters>
  <Lines>65</Lines>
  <Paragraphs>18</Paragraphs>
  <TotalTime>0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2023-09-27T09:16:54Z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DCF7FAC96C20438EA9F1BBBE0B36BE34</vt:lpwstr>
  </property>
</Properties>
</file>